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</w:t>
      </w:r>
      <w:r w:rsidR="00986A6F">
        <w:rPr>
          <w:rFonts w:cs="Times New Roman"/>
          <w:b/>
          <w:lang w:val="ru-RU"/>
        </w:rPr>
        <w:t>а</w:t>
      </w:r>
      <w:r w:rsidRPr="00CF3427">
        <w:rPr>
          <w:rFonts w:cs="Times New Roman"/>
          <w:b/>
          <w:lang w:val="ru-RU"/>
        </w:rPr>
        <w:t xml:space="preserve">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986A6F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8F7AB2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986A6F" w:rsidP="00986A6F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12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745309"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986A6F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12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17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D26ACC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545C0B" w:rsidRDefault="00046CA9" w:rsidP="00545C0B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E42C75" w:rsidRPr="008F7AB2" w:rsidRDefault="008F7AB2" w:rsidP="00A35CC1">
            <w:pPr>
              <w:pStyle w:val="a7"/>
              <w:keepNext/>
              <w:widowControl/>
              <w:suppressAutoHyphens w:val="0"/>
              <w:ind w:left="0"/>
              <w:outlineLvl w:val="1"/>
              <w:rPr>
                <w:rFonts w:ascii="Times New Roman" w:hAnsi="Times New Roman"/>
                <w:b/>
                <w:i/>
                <w:sz w:val="24"/>
              </w:rPr>
            </w:pPr>
            <w:bookmarkStart w:id="0" w:name="_GoBack"/>
            <w:r w:rsidRPr="008F7AB2">
              <w:rPr>
                <w:rFonts w:ascii="Times New Roman" w:hAnsi="Times New Roman"/>
                <w:b/>
                <w:bCs/>
                <w:i/>
                <w:color w:val="000000"/>
                <w:sz w:val="24"/>
              </w:rPr>
              <w:t>1.</w:t>
            </w:r>
            <w:r w:rsidRPr="008F7AB2">
              <w:rPr>
                <w:rFonts w:ascii="Times New Roman" w:hAnsi="Times New Roman"/>
                <w:b/>
                <w:i/>
                <w:sz w:val="24"/>
              </w:rPr>
              <w:t xml:space="preserve">О согласовании заключения договоров купли-продажи имущества. </w:t>
            </w:r>
            <w:bookmarkEnd w:id="0"/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4C548D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986A6F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12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декабря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8F7AB2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74C97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1C7C"/>
    <w:rsid w:val="00264D41"/>
    <w:rsid w:val="00273595"/>
    <w:rsid w:val="00280357"/>
    <w:rsid w:val="00286C11"/>
    <w:rsid w:val="0029013F"/>
    <w:rsid w:val="00290DA0"/>
    <w:rsid w:val="00301B94"/>
    <w:rsid w:val="003259B8"/>
    <w:rsid w:val="00334E6A"/>
    <w:rsid w:val="00340BD3"/>
    <w:rsid w:val="00345C98"/>
    <w:rsid w:val="00355F77"/>
    <w:rsid w:val="0039025D"/>
    <w:rsid w:val="003A29EE"/>
    <w:rsid w:val="003B2762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548D"/>
    <w:rsid w:val="004C77A5"/>
    <w:rsid w:val="004D3316"/>
    <w:rsid w:val="004F18BC"/>
    <w:rsid w:val="00517124"/>
    <w:rsid w:val="0053448B"/>
    <w:rsid w:val="00545C0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9293C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8F7AB2"/>
    <w:rsid w:val="00912314"/>
    <w:rsid w:val="0092087C"/>
    <w:rsid w:val="00925C63"/>
    <w:rsid w:val="00937B9E"/>
    <w:rsid w:val="0094206B"/>
    <w:rsid w:val="009430D5"/>
    <w:rsid w:val="00943EB4"/>
    <w:rsid w:val="009501E9"/>
    <w:rsid w:val="00951258"/>
    <w:rsid w:val="00985EF8"/>
    <w:rsid w:val="00986A6F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74C6F"/>
    <w:rsid w:val="00AA1700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16A24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26ACC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3062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4D45-A069-418C-90EA-E4FF1CD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2018-11-01T10:52:00Z</cp:lastPrinted>
  <dcterms:created xsi:type="dcterms:W3CDTF">2018-12-12T08:01:00Z</dcterms:created>
  <dcterms:modified xsi:type="dcterms:W3CDTF">2018-12-12T08:02:00Z</dcterms:modified>
</cp:coreProperties>
</file>